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AF" w:rsidRPr="002960BC" w:rsidRDefault="00220BAF" w:rsidP="002960BC">
      <w:pPr>
        <w:spacing w:after="0"/>
        <w:ind w:right="-446"/>
        <w:jc w:val="center"/>
        <w:rPr>
          <w:rFonts w:ascii="Palatino Linotype" w:hAnsi="Palatino Linotype" w:cstheme="minorHAnsi"/>
          <w:b/>
          <w:sz w:val="24"/>
          <w:szCs w:val="24"/>
        </w:rPr>
      </w:pPr>
      <w:bookmarkStart w:id="0" w:name="_GoBack"/>
      <w:bookmarkEnd w:id="0"/>
      <w:r w:rsidRPr="002960BC">
        <w:rPr>
          <w:rFonts w:ascii="Palatino Linotype" w:hAnsi="Palatino Linotype" w:cstheme="minorHAnsi"/>
          <w:b/>
          <w:sz w:val="24"/>
          <w:szCs w:val="24"/>
        </w:rPr>
        <w:t>Graduate Counseling Program</w:t>
      </w:r>
    </w:p>
    <w:p w:rsidR="00220BAF" w:rsidRDefault="00220BAF" w:rsidP="002960BC">
      <w:pPr>
        <w:spacing w:after="0"/>
        <w:ind w:right="-446"/>
        <w:jc w:val="center"/>
        <w:rPr>
          <w:rFonts w:ascii="Palatino Linotype" w:hAnsi="Palatino Linotype" w:cstheme="minorHAnsi"/>
          <w:b/>
          <w:sz w:val="24"/>
          <w:szCs w:val="24"/>
        </w:rPr>
      </w:pPr>
      <w:r w:rsidRPr="002960BC">
        <w:rPr>
          <w:rFonts w:ascii="Palatino Linotype" w:hAnsi="Palatino Linotype" w:cstheme="minorHAnsi"/>
          <w:b/>
          <w:sz w:val="24"/>
          <w:szCs w:val="24"/>
        </w:rPr>
        <w:t>Action Plan in Response to 2019 Program Review</w:t>
      </w:r>
    </w:p>
    <w:p w:rsidR="002960BC" w:rsidRPr="002960BC" w:rsidRDefault="002960BC" w:rsidP="002960BC">
      <w:pPr>
        <w:spacing w:after="0"/>
        <w:ind w:right="-446"/>
        <w:jc w:val="center"/>
        <w:rPr>
          <w:rFonts w:ascii="Palatino Linotype" w:hAnsi="Palatino Linotype" w:cstheme="minorHAnsi"/>
          <w:b/>
          <w:sz w:val="24"/>
          <w:szCs w:val="24"/>
        </w:rPr>
      </w:pPr>
    </w:p>
    <w:tbl>
      <w:tblPr>
        <w:tblStyle w:val="TableGrid"/>
        <w:tblW w:w="14305" w:type="dxa"/>
        <w:tblLayout w:type="fixed"/>
        <w:tblCellMar>
          <w:top w:w="144" w:type="dxa"/>
          <w:left w:w="158" w:type="dxa"/>
          <w:bottom w:w="144" w:type="dxa"/>
          <w:right w:w="158" w:type="dxa"/>
        </w:tblCellMar>
        <w:tblLook w:val="04A0" w:firstRow="1" w:lastRow="0" w:firstColumn="1" w:lastColumn="0" w:noHBand="0" w:noVBand="1"/>
      </w:tblPr>
      <w:tblGrid>
        <w:gridCol w:w="2385"/>
        <w:gridCol w:w="2544"/>
        <w:gridCol w:w="2986"/>
        <w:gridCol w:w="2160"/>
        <w:gridCol w:w="1710"/>
        <w:gridCol w:w="2520"/>
      </w:tblGrid>
      <w:tr w:rsidR="00193946" w:rsidRPr="002960BC" w:rsidTr="00DF4FD8">
        <w:tc>
          <w:tcPr>
            <w:tcW w:w="2385" w:type="dxa"/>
          </w:tcPr>
          <w:p w:rsidR="00193946" w:rsidRPr="002960BC" w:rsidRDefault="00193946" w:rsidP="00236A4F">
            <w:pPr>
              <w:spacing w:after="0" w:line="240" w:lineRule="auto"/>
              <w:rPr>
                <w:rFonts w:ascii="Palatino Linotype" w:hAnsi="Palatino Linotype" w:cstheme="minorHAnsi"/>
                <w:b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b/>
                <w:sz w:val="24"/>
                <w:szCs w:val="24"/>
              </w:rPr>
              <w:t>Specific area where improvement is needed</w:t>
            </w:r>
          </w:p>
        </w:tc>
        <w:tc>
          <w:tcPr>
            <w:tcW w:w="2544" w:type="dxa"/>
          </w:tcPr>
          <w:p w:rsidR="00193946" w:rsidRPr="002960BC" w:rsidRDefault="00193946" w:rsidP="00236A4F">
            <w:pPr>
              <w:rPr>
                <w:rFonts w:ascii="Palatino Linotype" w:hAnsi="Palatino Linotype" w:cstheme="minorHAnsi"/>
                <w:b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b/>
                <w:sz w:val="24"/>
                <w:szCs w:val="24"/>
              </w:rPr>
              <w:t>Evidence to support the recommended change</w:t>
            </w:r>
          </w:p>
        </w:tc>
        <w:tc>
          <w:tcPr>
            <w:tcW w:w="2986" w:type="dxa"/>
          </w:tcPr>
          <w:p w:rsidR="00193946" w:rsidRPr="002960BC" w:rsidRDefault="00193946" w:rsidP="00236A4F">
            <w:pPr>
              <w:rPr>
                <w:rFonts w:ascii="Palatino Linotype" w:hAnsi="Palatino Linotype" w:cstheme="minorHAnsi"/>
                <w:b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b/>
                <w:sz w:val="24"/>
                <w:szCs w:val="24"/>
              </w:rPr>
              <w:t>Person Responsible for Implementing the Change</w:t>
            </w:r>
          </w:p>
        </w:tc>
        <w:tc>
          <w:tcPr>
            <w:tcW w:w="2160" w:type="dxa"/>
          </w:tcPr>
          <w:p w:rsidR="00193946" w:rsidRPr="002960BC" w:rsidRDefault="00193946" w:rsidP="00236A4F">
            <w:pPr>
              <w:rPr>
                <w:rFonts w:ascii="Palatino Linotype" w:hAnsi="Palatino Linotype" w:cstheme="minorHAnsi"/>
                <w:b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b/>
                <w:sz w:val="24"/>
                <w:szCs w:val="24"/>
              </w:rPr>
              <w:t>Timeline for Implementation</w:t>
            </w:r>
          </w:p>
        </w:tc>
        <w:tc>
          <w:tcPr>
            <w:tcW w:w="1710" w:type="dxa"/>
          </w:tcPr>
          <w:p w:rsidR="00193946" w:rsidRPr="002960BC" w:rsidRDefault="00193946" w:rsidP="00236A4F">
            <w:pPr>
              <w:rPr>
                <w:rFonts w:ascii="Palatino Linotype" w:hAnsi="Palatino Linotype" w:cstheme="minorHAnsi"/>
                <w:b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b/>
                <w:sz w:val="24"/>
                <w:szCs w:val="24"/>
              </w:rPr>
              <w:t>Resources Needed</w:t>
            </w:r>
          </w:p>
        </w:tc>
        <w:tc>
          <w:tcPr>
            <w:tcW w:w="2520" w:type="dxa"/>
          </w:tcPr>
          <w:p w:rsidR="00193946" w:rsidRPr="002960BC" w:rsidRDefault="00193946" w:rsidP="00236A4F">
            <w:pPr>
              <w:rPr>
                <w:rFonts w:ascii="Palatino Linotype" w:hAnsi="Palatino Linotype" w:cstheme="minorHAnsi"/>
                <w:b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b/>
                <w:sz w:val="24"/>
                <w:szCs w:val="24"/>
              </w:rPr>
              <w:t>Assessment Plan</w:t>
            </w:r>
          </w:p>
        </w:tc>
      </w:tr>
      <w:tr w:rsidR="00193946" w:rsidRPr="002960BC" w:rsidTr="00DF4FD8">
        <w:tc>
          <w:tcPr>
            <w:tcW w:w="2385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t xml:space="preserve">#1 </w:t>
            </w:r>
            <w:r w:rsidR="00193946"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t>Assessment:</w:t>
            </w:r>
            <w:r w:rsidR="00193946"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Strengthen Clinical Skills Rubric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544" w:type="dxa"/>
          </w:tcPr>
          <w:p w:rsidR="00193946" w:rsidRPr="002960BC" w:rsidRDefault="00193946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</w:t>
            </w:r>
          </w:p>
        </w:tc>
        <w:tc>
          <w:tcPr>
            <w:tcW w:w="2986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Megan Krell will revise the rubric based on past observations</w:t>
            </w:r>
            <w:r w:rsidR="00193946" w:rsidRPr="002960BC">
              <w:rPr>
                <w:rFonts w:ascii="Palatino Linotype" w:hAnsi="Palatino Linotype" w:cstheme="minorHAnsi"/>
                <w:sz w:val="24"/>
                <w:szCs w:val="24"/>
              </w:rPr>
              <w:t>. Multiple faculty will pilot-test new version</w:t>
            </w:r>
            <w:r w:rsidR="002960BC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2019-2020 </w:t>
            </w:r>
          </w:p>
        </w:tc>
        <w:tc>
          <w:tcPr>
            <w:tcW w:w="171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None</w:t>
            </w:r>
          </w:p>
        </w:tc>
        <w:tc>
          <w:tcPr>
            <w:tcW w:w="252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Examination of assessment results in the 2019-2020 year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</w:tr>
      <w:tr w:rsidR="00193946" w:rsidRPr="002960BC" w:rsidTr="00DF4FD8">
        <w:tc>
          <w:tcPr>
            <w:tcW w:w="2385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t>#1 Assessment: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Automation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544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 and External reviewer</w:t>
            </w:r>
          </w:p>
        </w:tc>
        <w:tc>
          <w:tcPr>
            <w:tcW w:w="2986" w:type="dxa"/>
          </w:tcPr>
          <w:p w:rsidR="00193946" w:rsidRPr="002960BC" w:rsidRDefault="00236A4F" w:rsidP="002960BC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Daneen Deptula will work with faculty to pilot-test using aspects of TK20 to collect data</w:t>
            </w:r>
            <w:r w:rsidR="002960BC"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2019-2020</w:t>
            </w:r>
          </w:p>
        </w:tc>
        <w:tc>
          <w:tcPr>
            <w:tcW w:w="171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Assistance of assessment office</w:t>
            </w:r>
          </w:p>
        </w:tc>
        <w:tc>
          <w:tcPr>
            <w:tcW w:w="2520" w:type="dxa"/>
          </w:tcPr>
          <w:p w:rsidR="00193946" w:rsidRPr="002960BC" w:rsidRDefault="00236A4F" w:rsidP="00DF4FD8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Will review 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pilot testing at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end of 2020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</w:tr>
      <w:tr w:rsidR="008912C6" w:rsidRPr="002960BC" w:rsidTr="00DF4FD8">
        <w:tc>
          <w:tcPr>
            <w:tcW w:w="2385" w:type="dxa"/>
          </w:tcPr>
          <w:p w:rsidR="008912C6" w:rsidRPr="002960BC" w:rsidRDefault="008912C6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t>#1 Assessment: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Development of measures of missing CACREP competences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544" w:type="dxa"/>
          </w:tcPr>
          <w:p w:rsidR="008912C6" w:rsidRPr="002960BC" w:rsidRDefault="008912C6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External reviewer</w:t>
            </w:r>
          </w:p>
        </w:tc>
        <w:tc>
          <w:tcPr>
            <w:tcW w:w="2986" w:type="dxa"/>
          </w:tcPr>
          <w:p w:rsidR="008912C6" w:rsidRPr="002960BC" w:rsidRDefault="008912C6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Daneen Deptula will coordinate with faculty teaching those content areas to develop assessments.  </w:t>
            </w:r>
          </w:p>
        </w:tc>
        <w:tc>
          <w:tcPr>
            <w:tcW w:w="2160" w:type="dxa"/>
          </w:tcPr>
          <w:p w:rsidR="008912C6" w:rsidRPr="002960BC" w:rsidRDefault="008912C6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2020-2022</w:t>
            </w:r>
          </w:p>
        </w:tc>
        <w:tc>
          <w:tcPr>
            <w:tcW w:w="1710" w:type="dxa"/>
          </w:tcPr>
          <w:p w:rsidR="008912C6" w:rsidRPr="002960BC" w:rsidRDefault="008912C6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None</w:t>
            </w:r>
          </w:p>
        </w:tc>
        <w:tc>
          <w:tcPr>
            <w:tcW w:w="2520" w:type="dxa"/>
          </w:tcPr>
          <w:p w:rsidR="008912C6" w:rsidRPr="002960BC" w:rsidRDefault="008912C6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New assessment measures developed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</w:tr>
      <w:tr w:rsidR="008912C6" w:rsidRPr="002960BC" w:rsidTr="00DF4FD8">
        <w:tc>
          <w:tcPr>
            <w:tcW w:w="2385" w:type="dxa"/>
          </w:tcPr>
          <w:p w:rsidR="008912C6" w:rsidRPr="002960BC" w:rsidRDefault="008912C6" w:rsidP="002960BC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t>#1 Assessment: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Development of </w:t>
            </w:r>
            <w:r w:rsidR="002960BC" w:rsidRPr="002960BC">
              <w:rPr>
                <w:rFonts w:ascii="Palatino Linotype" w:hAnsi="Palatino Linotype" w:cstheme="minorHAnsi"/>
                <w:sz w:val="24"/>
                <w:szCs w:val="24"/>
              </w:rPr>
              <w:lastRenderedPageBreak/>
              <w:t>formalized system of assessment reporting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544" w:type="dxa"/>
          </w:tcPr>
          <w:p w:rsidR="008912C6" w:rsidRPr="002960BC" w:rsidRDefault="002960BC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lastRenderedPageBreak/>
              <w:t>External reviewer</w:t>
            </w:r>
          </w:p>
        </w:tc>
        <w:tc>
          <w:tcPr>
            <w:tcW w:w="2986" w:type="dxa"/>
          </w:tcPr>
          <w:p w:rsidR="008912C6" w:rsidRPr="002960BC" w:rsidRDefault="002960BC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Daneen Deptula will work with the graduate 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lastRenderedPageBreak/>
              <w:t>faculty, and in response to the result of assessment data automation</w:t>
            </w:r>
            <w:r w:rsidR="002967CB">
              <w:rPr>
                <w:rFonts w:ascii="Palatino Linotype" w:hAnsi="Palatino Linotype" w:cstheme="minorHAnsi"/>
                <w:sz w:val="24"/>
                <w:szCs w:val="24"/>
              </w:rPr>
              <w:t xml:space="preserve"> pilot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8912C6" w:rsidRPr="002960BC" w:rsidRDefault="002960BC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710" w:type="dxa"/>
          </w:tcPr>
          <w:p w:rsidR="008912C6" w:rsidRPr="002960BC" w:rsidRDefault="002960BC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None</w:t>
            </w:r>
          </w:p>
        </w:tc>
        <w:tc>
          <w:tcPr>
            <w:tcW w:w="2520" w:type="dxa"/>
          </w:tcPr>
          <w:p w:rsidR="008912C6" w:rsidRPr="002960BC" w:rsidRDefault="002960BC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Yearly assessment reports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</w:tr>
      <w:tr w:rsidR="00193946" w:rsidRPr="002960BC" w:rsidTr="00DF4FD8">
        <w:tc>
          <w:tcPr>
            <w:tcW w:w="2385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lastRenderedPageBreak/>
              <w:t>#2 Increase student enrollment: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 Marketing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544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 and external reviewer</w:t>
            </w:r>
          </w:p>
        </w:tc>
        <w:tc>
          <w:tcPr>
            <w:tcW w:w="2986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Daneen Deptula in combination with GCE staff, marketing department, and admissions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All years</w:t>
            </w:r>
          </w:p>
        </w:tc>
        <w:tc>
          <w:tcPr>
            <w:tcW w:w="1710" w:type="dxa"/>
          </w:tcPr>
          <w:p w:rsidR="00193946" w:rsidRPr="002960BC" w:rsidRDefault="00236A4F" w:rsidP="00DF4FD8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Admissions data</w:t>
            </w:r>
            <w:r w:rsidR="002960BC" w:rsidRPr="002960BC">
              <w:rPr>
                <w:rFonts w:ascii="Palatino Linotype" w:hAnsi="Palatino Linotype" w:cstheme="minorHAnsi"/>
                <w:sz w:val="24"/>
                <w:szCs w:val="24"/>
              </w:rPr>
              <w:t>, including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diversity</w:t>
            </w:r>
          </w:p>
        </w:tc>
        <w:tc>
          <w:tcPr>
            <w:tcW w:w="252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Admissions reports</w:t>
            </w:r>
          </w:p>
        </w:tc>
      </w:tr>
      <w:tr w:rsidR="00193946" w:rsidRPr="002960BC" w:rsidTr="00DF4FD8">
        <w:tc>
          <w:tcPr>
            <w:tcW w:w="2385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t>#2 Increase student enrollment: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Community partnerships through advisory board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  <w:tc>
          <w:tcPr>
            <w:tcW w:w="2544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</w:t>
            </w:r>
          </w:p>
        </w:tc>
        <w:tc>
          <w:tcPr>
            <w:tcW w:w="2986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Daneen Deptula</w:t>
            </w:r>
          </w:p>
        </w:tc>
        <w:tc>
          <w:tcPr>
            <w:tcW w:w="216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Starting in 2019-2020 year </w:t>
            </w:r>
          </w:p>
        </w:tc>
        <w:tc>
          <w:tcPr>
            <w:tcW w:w="171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Funding for refreshments</w:t>
            </w:r>
          </w:p>
        </w:tc>
        <w:tc>
          <w:tcPr>
            <w:tcW w:w="2520" w:type="dxa"/>
          </w:tcPr>
          <w:p w:rsidR="00193946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Admissions reports</w:t>
            </w:r>
          </w:p>
        </w:tc>
      </w:tr>
      <w:tr w:rsidR="00236A4F" w:rsidRPr="002960BC" w:rsidTr="00DF4FD8">
        <w:tc>
          <w:tcPr>
            <w:tcW w:w="2385" w:type="dxa"/>
          </w:tcPr>
          <w:p w:rsidR="00236A4F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#3 Increase faculty involvement</w:t>
            </w:r>
            <w:r w:rsidR="00D42562" w:rsidRPr="002960BC">
              <w:rPr>
                <w:rFonts w:ascii="Palatino Linotype" w:hAnsi="Palatino Linotype" w:cstheme="minorHAnsi"/>
                <w:sz w:val="24"/>
                <w:szCs w:val="24"/>
              </w:rPr>
              <w:t>. Form focus group for adjunct faculty</w:t>
            </w:r>
            <w:r w:rsidR="008912C6"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to discuss assessment and curriculum.</w:t>
            </w:r>
          </w:p>
        </w:tc>
        <w:tc>
          <w:tcPr>
            <w:tcW w:w="2544" w:type="dxa"/>
          </w:tcPr>
          <w:p w:rsidR="00236A4F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</w:t>
            </w:r>
            <w:r w:rsidR="008912C6"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and external reviewer, particularly with respect to involvement in assessment</w:t>
            </w:r>
          </w:p>
        </w:tc>
        <w:tc>
          <w:tcPr>
            <w:tcW w:w="2986" w:type="dxa"/>
          </w:tcPr>
          <w:p w:rsidR="00236A4F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Daneen Deptula</w:t>
            </w:r>
          </w:p>
        </w:tc>
        <w:tc>
          <w:tcPr>
            <w:tcW w:w="2160" w:type="dxa"/>
          </w:tcPr>
          <w:p w:rsidR="00236A4F" w:rsidRPr="002960BC" w:rsidRDefault="00236A4F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Starting in </w:t>
            </w:r>
            <w:r w:rsidR="00D42562" w:rsidRPr="002960BC">
              <w:rPr>
                <w:rFonts w:ascii="Palatino Linotype" w:hAnsi="Palatino Linotype" w:cstheme="minorHAnsi"/>
                <w:sz w:val="24"/>
                <w:szCs w:val="24"/>
              </w:rPr>
              <w:t>2020-2021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year </w:t>
            </w:r>
          </w:p>
        </w:tc>
        <w:tc>
          <w:tcPr>
            <w:tcW w:w="1710" w:type="dxa"/>
          </w:tcPr>
          <w:p w:rsidR="00236A4F" w:rsidRPr="002960BC" w:rsidRDefault="00236A4F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Funding for refreshments</w:t>
            </w:r>
          </w:p>
        </w:tc>
        <w:tc>
          <w:tcPr>
            <w:tcW w:w="2520" w:type="dxa"/>
          </w:tcPr>
          <w:p w:rsidR="00236A4F" w:rsidRPr="002960BC" w:rsidRDefault="00D42562" w:rsidP="00236A4F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Reports of number of participating faculty</w:t>
            </w:r>
            <w:r w:rsidR="002967CB">
              <w:rPr>
                <w:rFonts w:ascii="Palatino Linotype" w:hAnsi="Palatino Linotype" w:cstheme="minorHAnsi"/>
                <w:sz w:val="24"/>
                <w:szCs w:val="24"/>
              </w:rPr>
              <w:t xml:space="preserve"> at focus groups</w:t>
            </w:r>
            <w:r w:rsidR="00DF4FD8">
              <w:rPr>
                <w:rFonts w:ascii="Palatino Linotype" w:hAnsi="Palatino Linotype" w:cstheme="minorHAnsi"/>
                <w:sz w:val="24"/>
                <w:szCs w:val="24"/>
              </w:rPr>
              <w:t>.</w:t>
            </w:r>
          </w:p>
        </w:tc>
      </w:tr>
      <w:tr w:rsidR="00D42562" w:rsidRPr="002960BC" w:rsidTr="00DF4FD8">
        <w:tc>
          <w:tcPr>
            <w:tcW w:w="2385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lastRenderedPageBreak/>
              <w:t>#3 Increase faculty involvement.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Invite more graduate faculty to join graduate committee</w:t>
            </w:r>
          </w:p>
        </w:tc>
        <w:tc>
          <w:tcPr>
            <w:tcW w:w="2544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</w:t>
            </w:r>
          </w:p>
        </w:tc>
        <w:tc>
          <w:tcPr>
            <w:tcW w:w="2986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Daneen Deptula</w:t>
            </w:r>
          </w:p>
        </w:tc>
        <w:tc>
          <w:tcPr>
            <w:tcW w:w="216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2019-2021 </w:t>
            </w:r>
          </w:p>
        </w:tc>
        <w:tc>
          <w:tcPr>
            <w:tcW w:w="171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None</w:t>
            </w:r>
          </w:p>
        </w:tc>
        <w:tc>
          <w:tcPr>
            <w:tcW w:w="252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Reports of number of participating faculty</w:t>
            </w:r>
          </w:p>
        </w:tc>
      </w:tr>
      <w:tr w:rsidR="00D42562" w:rsidRPr="002960BC" w:rsidTr="00DF4FD8">
        <w:tc>
          <w:tcPr>
            <w:tcW w:w="2385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  <w:u w:val="single"/>
              </w:rPr>
              <w:t>#3 Increase faculty involvement.</w:t>
            </w: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 Increase full-time teaching at graduate level</w:t>
            </w:r>
          </w:p>
        </w:tc>
        <w:tc>
          <w:tcPr>
            <w:tcW w:w="2544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</w:t>
            </w:r>
          </w:p>
        </w:tc>
        <w:tc>
          <w:tcPr>
            <w:tcW w:w="2986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Discussions between administration and Daneen Deptula</w:t>
            </w:r>
          </w:p>
        </w:tc>
        <w:tc>
          <w:tcPr>
            <w:tcW w:w="216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Across all years</w:t>
            </w:r>
          </w:p>
        </w:tc>
        <w:tc>
          <w:tcPr>
            <w:tcW w:w="171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Unknown</w:t>
            </w:r>
          </w:p>
        </w:tc>
        <w:tc>
          <w:tcPr>
            <w:tcW w:w="252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Reports of numbers of participating faculty</w:t>
            </w:r>
          </w:p>
        </w:tc>
      </w:tr>
      <w:tr w:rsidR="00D42562" w:rsidRPr="002960BC" w:rsidTr="00DF4FD8">
        <w:tc>
          <w:tcPr>
            <w:tcW w:w="2385" w:type="dxa"/>
          </w:tcPr>
          <w:p w:rsidR="00D42562" w:rsidRPr="002967CB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7CB">
              <w:rPr>
                <w:rFonts w:ascii="Palatino Linotype" w:hAnsi="Palatino Linotype" w:cstheme="minorHAnsi"/>
                <w:sz w:val="24"/>
                <w:szCs w:val="24"/>
              </w:rPr>
              <w:t>#4 Address CACREP accreditation issue</w:t>
            </w:r>
          </w:p>
        </w:tc>
        <w:tc>
          <w:tcPr>
            <w:tcW w:w="2544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Program review and external report</w:t>
            </w:r>
          </w:p>
        </w:tc>
        <w:tc>
          <w:tcPr>
            <w:tcW w:w="2986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Discussions between administration and Daneen Deptula</w:t>
            </w:r>
            <w:r w:rsidR="008912C6"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. The external reviewer recommends </w:t>
            </w:r>
            <w:r w:rsidR="002960BC" w:rsidRPr="002960BC">
              <w:rPr>
                <w:rFonts w:ascii="Palatino Linotype" w:hAnsi="Palatino Linotype" w:cstheme="minorHAnsi"/>
                <w:sz w:val="24"/>
                <w:szCs w:val="24"/>
              </w:rPr>
              <w:t xml:space="preserve">meeting </w:t>
            </w:r>
            <w:r w:rsidR="008912C6" w:rsidRPr="002960BC">
              <w:rPr>
                <w:rFonts w:ascii="Palatino Linotype" w:hAnsi="Palatino Linotype" w:cstheme="minorHAnsi"/>
                <w:sz w:val="24"/>
                <w:szCs w:val="24"/>
              </w:rPr>
              <w:t>once per semester.</w:t>
            </w:r>
          </w:p>
        </w:tc>
        <w:tc>
          <w:tcPr>
            <w:tcW w:w="216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Across all years</w:t>
            </w:r>
          </w:p>
        </w:tc>
        <w:tc>
          <w:tcPr>
            <w:tcW w:w="171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Unknown</w:t>
            </w:r>
          </w:p>
        </w:tc>
        <w:tc>
          <w:tcPr>
            <w:tcW w:w="2520" w:type="dxa"/>
          </w:tcPr>
          <w:p w:rsidR="00D42562" w:rsidRPr="002960BC" w:rsidRDefault="00D42562" w:rsidP="00D42562">
            <w:pPr>
              <w:rPr>
                <w:rFonts w:ascii="Palatino Linotype" w:hAnsi="Palatino Linotype" w:cstheme="minorHAnsi"/>
                <w:sz w:val="24"/>
                <w:szCs w:val="24"/>
              </w:rPr>
            </w:pPr>
            <w:r w:rsidRPr="002960BC">
              <w:rPr>
                <w:rFonts w:ascii="Palatino Linotype" w:hAnsi="Palatino Linotype" w:cstheme="minorHAnsi"/>
                <w:sz w:val="24"/>
                <w:szCs w:val="24"/>
              </w:rPr>
              <w:t>TBA</w:t>
            </w:r>
          </w:p>
        </w:tc>
      </w:tr>
    </w:tbl>
    <w:p w:rsidR="00193946" w:rsidRPr="002960BC" w:rsidRDefault="00193946" w:rsidP="00220BAF">
      <w:pPr>
        <w:ind w:right="-450"/>
        <w:rPr>
          <w:rFonts w:ascii="Palatino Linotype" w:hAnsi="Palatino Linotype" w:cstheme="minorHAnsi"/>
          <w:sz w:val="24"/>
          <w:szCs w:val="24"/>
        </w:rPr>
      </w:pPr>
    </w:p>
    <w:p w:rsidR="00193946" w:rsidRPr="002960BC" w:rsidRDefault="00193946" w:rsidP="00220BAF">
      <w:pPr>
        <w:ind w:right="-450"/>
        <w:rPr>
          <w:rFonts w:ascii="Palatino Linotype" w:hAnsi="Palatino Linotype" w:cstheme="minorHAnsi"/>
          <w:sz w:val="24"/>
          <w:szCs w:val="24"/>
        </w:rPr>
      </w:pPr>
    </w:p>
    <w:sectPr w:rsidR="00193946" w:rsidRPr="002960BC" w:rsidSect="002960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6EE"/>
    <w:multiLevelType w:val="hybridMultilevel"/>
    <w:tmpl w:val="30CA328C"/>
    <w:lvl w:ilvl="0" w:tplc="8D44D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018BB"/>
    <w:multiLevelType w:val="hybridMultilevel"/>
    <w:tmpl w:val="EB862A28"/>
    <w:lvl w:ilvl="0" w:tplc="8D44D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60A8D"/>
    <w:multiLevelType w:val="hybridMultilevel"/>
    <w:tmpl w:val="6FF69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C6AF9"/>
    <w:multiLevelType w:val="hybridMultilevel"/>
    <w:tmpl w:val="83365564"/>
    <w:lvl w:ilvl="0" w:tplc="38EAE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178B6"/>
    <w:multiLevelType w:val="hybridMultilevel"/>
    <w:tmpl w:val="4E104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222FC"/>
    <w:multiLevelType w:val="hybridMultilevel"/>
    <w:tmpl w:val="EB862A28"/>
    <w:lvl w:ilvl="0" w:tplc="8D44D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643D2"/>
    <w:multiLevelType w:val="hybridMultilevel"/>
    <w:tmpl w:val="EB862A28"/>
    <w:lvl w:ilvl="0" w:tplc="8D44D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D662AD"/>
    <w:multiLevelType w:val="hybridMultilevel"/>
    <w:tmpl w:val="30CA328C"/>
    <w:lvl w:ilvl="0" w:tplc="8D44D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214D8B"/>
    <w:multiLevelType w:val="hybridMultilevel"/>
    <w:tmpl w:val="30CA328C"/>
    <w:lvl w:ilvl="0" w:tplc="8D44D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36005E"/>
    <w:multiLevelType w:val="hybridMultilevel"/>
    <w:tmpl w:val="30CA328C"/>
    <w:lvl w:ilvl="0" w:tplc="8D44D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AF"/>
    <w:rsid w:val="000441C2"/>
    <w:rsid w:val="00057038"/>
    <w:rsid w:val="000A1B05"/>
    <w:rsid w:val="00193946"/>
    <w:rsid w:val="00220BAF"/>
    <w:rsid w:val="00236A4F"/>
    <w:rsid w:val="002960BC"/>
    <w:rsid w:val="002967CB"/>
    <w:rsid w:val="008912C6"/>
    <w:rsid w:val="00D42562"/>
    <w:rsid w:val="00DF4FD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5BDF8-6FF1-4DFB-9593-7F908941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B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AF"/>
    <w:pPr>
      <w:ind w:left="720"/>
      <w:contextualSpacing/>
    </w:pPr>
  </w:style>
  <w:style w:type="table" w:styleId="TableGrid">
    <w:name w:val="Table Grid"/>
    <w:basedOn w:val="TableNormal"/>
    <w:uiPriority w:val="39"/>
    <w:rsid w:val="0019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Daneen Deptula</dc:creator>
  <cp:keywords/>
  <dc:description/>
  <cp:lastModifiedBy>Susan Piro</cp:lastModifiedBy>
  <cp:revision>2</cp:revision>
  <dcterms:created xsi:type="dcterms:W3CDTF">2020-04-10T14:47:00Z</dcterms:created>
  <dcterms:modified xsi:type="dcterms:W3CDTF">2020-04-10T14:47:00Z</dcterms:modified>
</cp:coreProperties>
</file>